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769128D">
      <w:pPr>
        <w:adjustRightInd w:val="0"/>
        <w:snapToGrid w:val="0"/>
        <w:spacing w:line="600" w:lineRule="exact"/>
        <w:rPr>
          <w:rFonts w:hint="eastAsia" w:ascii="黑体" w:hAnsi="黑体" w:eastAsia="黑体" w:cs="黑体"/>
          <w:bCs/>
          <w:color w:val="auto"/>
          <w:szCs w:val="32"/>
        </w:rPr>
      </w:pPr>
      <w:r>
        <w:rPr>
          <w:rFonts w:hint="eastAsia" w:ascii="黑体" w:hAnsi="黑体" w:eastAsia="黑体" w:cs="黑体"/>
          <w:bCs/>
          <w:color w:val="auto"/>
          <w:szCs w:val="32"/>
        </w:rPr>
        <w:t>附件1</w:t>
      </w:r>
    </w:p>
    <w:p w14:paraId="552C66FE">
      <w:pPr>
        <w:pStyle w:val="7"/>
        <w:adjustRightInd w:val="0"/>
        <w:snapToGrid w:val="0"/>
        <w:spacing w:line="600" w:lineRule="exact"/>
        <w:rPr>
          <w:rFonts w:hint="eastAsia" w:ascii="仿宋_GB2312" w:eastAsia="仿宋_GB2312"/>
          <w:sz w:val="32"/>
          <w:szCs w:val="32"/>
        </w:rPr>
      </w:pPr>
    </w:p>
    <w:p w14:paraId="7AE985FA">
      <w:pPr>
        <w:adjustRightInd w:val="0"/>
        <w:snapToGrid w:val="0"/>
        <w:spacing w:line="600" w:lineRule="exact"/>
        <w:jc w:val="center"/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  <w:t>202</w:t>
      </w:r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  <w:lang w:val="en-US" w:eastAsia="zh-CN"/>
        </w:rPr>
        <w:t>6</w:t>
      </w:r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  <w:t>年度湖北省软科学计划研究项目</w:t>
      </w:r>
    </w:p>
    <w:p w14:paraId="4EDE8B35">
      <w:pPr>
        <w:adjustRightInd w:val="0"/>
        <w:snapToGrid w:val="0"/>
        <w:spacing w:line="600" w:lineRule="exact"/>
        <w:jc w:val="center"/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  <w:t>（竞争类）申报指南</w:t>
      </w:r>
    </w:p>
    <w:bookmarkEnd w:id="0"/>
    <w:p w14:paraId="79C05FB2">
      <w:pPr>
        <w:adjustRightInd w:val="0"/>
        <w:snapToGrid w:val="0"/>
        <w:spacing w:line="600" w:lineRule="exact"/>
        <w:rPr>
          <w:rFonts w:hint="eastAsia" w:ascii="仿宋_GB2312" w:hAnsi="方正小标宋简体" w:cs="方正小标宋简体"/>
          <w:bCs/>
          <w:color w:val="auto"/>
          <w:szCs w:val="32"/>
        </w:rPr>
      </w:pPr>
    </w:p>
    <w:p w14:paraId="00121F5A">
      <w:pPr>
        <w:adjustRightInd w:val="0"/>
        <w:snapToGrid w:val="0"/>
        <w:spacing w:line="600" w:lineRule="exact"/>
        <w:ind w:firstLine="632" w:firstLineChars="200"/>
        <w:rPr>
          <w:rFonts w:hint="eastAsia" w:ascii="黑体" w:hAnsi="黑体" w:eastAsia="黑体" w:cs="方正黑体_GBK"/>
          <w:color w:val="auto"/>
          <w:szCs w:val="32"/>
        </w:rPr>
      </w:pPr>
      <w:r>
        <w:rPr>
          <w:rFonts w:hint="eastAsia" w:ascii="黑体" w:hAnsi="黑体" w:eastAsia="黑体" w:cs="方正黑体_GBK"/>
          <w:color w:val="auto"/>
          <w:szCs w:val="32"/>
        </w:rPr>
        <w:t>一、</w:t>
      </w:r>
      <w:r>
        <w:rPr>
          <w:rFonts w:hint="eastAsia" w:ascii="黑体" w:hAnsi="黑体" w:eastAsia="黑体" w:cs="方正黑体_GBK"/>
          <w:color w:val="auto"/>
          <w:szCs w:val="32"/>
          <w:lang w:eastAsia="zh-CN"/>
        </w:rPr>
        <w:t>“</w:t>
      </w:r>
      <w:r>
        <w:rPr>
          <w:rFonts w:hint="eastAsia" w:ascii="黑体" w:hAnsi="黑体" w:eastAsia="黑体" w:cs="方正黑体_GBK"/>
          <w:color w:val="auto"/>
          <w:szCs w:val="32"/>
          <w:lang w:val="en-US" w:eastAsia="zh-CN"/>
        </w:rPr>
        <w:t>51020</w:t>
      </w:r>
      <w:r>
        <w:rPr>
          <w:rFonts w:hint="eastAsia" w:ascii="黑体" w:hAnsi="黑体" w:eastAsia="黑体" w:cs="方正黑体_GBK"/>
          <w:color w:val="auto"/>
          <w:szCs w:val="32"/>
          <w:lang w:eastAsia="zh-CN"/>
        </w:rPr>
        <w:t>”先进制造业产业集群和未来领域重要产业方向研究</w:t>
      </w:r>
      <w:r>
        <w:rPr>
          <w:rFonts w:hint="eastAsia" w:ascii="黑体" w:hAnsi="黑体" w:eastAsia="黑体" w:cs="方正黑体_GBK"/>
          <w:color w:val="auto"/>
          <w:szCs w:val="32"/>
        </w:rPr>
        <w:t>课题</w:t>
      </w:r>
    </w:p>
    <w:p w14:paraId="5F2E5DF3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1.湖北省人工智能领域科技创新和产业发展现状、趋势与支持路径研究</w:t>
      </w:r>
    </w:p>
    <w:p w14:paraId="1B10AA2B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梳理分析湖北省人工智能科技创新和产业发展现状，围绕发展趋势提出推动人工智能产业发展的具体举措。（要有纵向横向比较以及详实数据和案例支撑）</w:t>
      </w:r>
    </w:p>
    <w:p w14:paraId="7034C34D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2.湖北加快打造6G创新发展高地的对策研究</w:t>
      </w:r>
    </w:p>
    <w:p w14:paraId="1070351A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紧扣省委</w:t>
      </w:r>
      <w:r>
        <w:rPr>
          <w:rFonts w:hint="eastAsia" w:ascii="仿宋_GB2312" w:hAnsi="仿宋_GB2312" w:cs="仿宋_GB2312"/>
          <w:snapToGrid w:val="0"/>
          <w:color w:val="auto"/>
          <w:kern w:val="0"/>
          <w:szCs w:val="32"/>
          <w:lang w:eastAsia="zh-CN"/>
        </w:rPr>
        <w:t>、</w:t>
      </w: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省政府培育新质生产力、建设科创高地部署，对标主要国家和地区先进经验，系统梳理湖北6G产业创新发展基础、核心瓶颈及发展短板，聚焦政策协同、技术攻关、企业培育、场景拓展等维度，研究构建“链长+链主+链创”协同机制，探索科技创新与产业创新深度融合的创新路径，提出支撑湖北打造全国6G创新发展高地的政策建议。（要有纵向横向比较以及详实数据和案例支撑）</w:t>
      </w:r>
    </w:p>
    <w:p w14:paraId="5716A27F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3.固态电池技术创新与产业化前景研究</w:t>
      </w:r>
    </w:p>
    <w:p w14:paraId="52B98AD7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梳理国内外以及湖北固态电池技术创新与产业化情况，分析主流企业的技术路线布局、量产规划、影响产业发展的关键因素，结合湖北实际剖析存在的突出问题，研判技术路线和产业化路径，对湖北加快固态电池技术和产业发展提出建议。（要有纵向横向比较以及详实数据和案例支撑）</w:t>
      </w:r>
    </w:p>
    <w:p w14:paraId="248A03B3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4.面向未来产业的湖北省原子级制造创新路径与生态体系研究</w:t>
      </w:r>
    </w:p>
    <w:p w14:paraId="5F317836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立足湖北省光电子与量子科技产业基础，研判原子级制造前沿趋势与发展现状，聚焦技术攻关、成果转化、场景应用及产业链协同，探索创新路径，构建产学研用一体化生态体系，为湖北培育未来产业、打造新质生产力提供决策支撑。（要有纵向横向比较以及详实数据和案例支撑）</w:t>
      </w:r>
    </w:p>
    <w:p w14:paraId="7A3E0CEC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5.前瞻布局湖北省信息光子技术与产业创新发展路径研究</w:t>
      </w:r>
    </w:p>
    <w:p w14:paraId="25344A17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当前信息光子技术创新活跃，芯片级光互连、大规模全光交换、新型光纤、光计算、光存储等新兴方向不断突破。为巩固湖北光电子信息产业独树一帜的领先地位，抢占未来信息光子产业发展制高点，全面对标国家战略及国际趋势，系统梳理湖北在信息光子新兴方向的潜在优势，研究谋划湖北省提前布局信息光子新兴领域的战略路径与对策建议。（要有纵向横向比较以及详实数据和案例支撑）</w:t>
      </w:r>
    </w:p>
    <w:p w14:paraId="58271088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6.合成生物学技术创新与产业发展战略研究</w:t>
      </w:r>
    </w:p>
    <w:p w14:paraId="247A2FE7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开展合成生物关键领域技术预测与产业发展战略研究，构建适配省情的创新体系与政策支撑框架，形成合成生物创新建议、伦理规范、法规政策等，为加快抢占合成生物未来产业创新高地，发展农业新质生产力提供政策支撑。（要有纵向横向比较以及详实数据和案例支撑）</w:t>
      </w:r>
    </w:p>
    <w:p w14:paraId="5D1299CA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7.加快抢占生物育种科技创新高地对策研究</w:t>
      </w:r>
    </w:p>
    <w:p w14:paraId="0371DA27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研判湖北省生物育种发展现状、战略需求与竞争格局，系统分析生物育种前沿技术演进趋势与核心瓶颈，形成生物育种重点攻关方向、配套政策建议、创新主体服务产业发展路径等，为发展和壮大生物育种产业提供决策依据。（要有纵向横向比较以及详实数据和案例支撑）</w:t>
      </w:r>
    </w:p>
    <w:p w14:paraId="0217E803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8.生猪科技创新和产业创新深度融合发展对策研究</w:t>
      </w:r>
    </w:p>
    <w:p w14:paraId="4523209C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全面系统梳理生猪产业链各环节国际国内发展形势，全方位比较分析湖北省在全国生猪领域优势领域与短板弱项，摸清科技和产业卡点问题，提出“十五五”生猪领域科技攻关重点方向，为加快我省生猪产业高质量发展提供政策建议。（要有纵向横向比较以及详实数据和案例支撑）</w:t>
      </w:r>
    </w:p>
    <w:p w14:paraId="3A7AF841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9.湖北省深地深海深空领域科技创新与产业创新融合发展路径研究</w:t>
      </w:r>
    </w:p>
    <w:p w14:paraId="3C5A9358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立足全球科技博弈加剧与我国能源资源安全、太空权益等战略紧迫需求，聚焦湖北在深地深海深空领域的独特优势，梳理全省产业链创新图谱，识别关键技术突破点与产业链薄弱环节，提出以技术突破牵引产业升级的发展路径，为推进湖北“三深”科技创新与产业创新融合发展提供决策参考。（要有纵向横向比较以及详实数据和案例支撑）</w:t>
      </w:r>
    </w:p>
    <w:p w14:paraId="2AABCF59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10.湖北省脑机接口产业全链条创新生态打造与集聚发展策略研究</w:t>
      </w:r>
    </w:p>
    <w:p w14:paraId="0B2E57C4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系统梳理湖北在脑机接口领域的技术优势和临床资源优势，分析湖北省在上游核心芯片、中游设备集成、下游应用场景的产业链创新链完整度与短板，探索“产学研医”深度融合机制，提出符合脑机接口企业需求的“雨林式”创新生态体系构建策略，服务湖北脑机接口产业集聚发展。（要有纵向横向比较以及详实数据和案例支撑）</w:t>
      </w:r>
    </w:p>
    <w:p w14:paraId="775A120F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  <w:lang w:val="en-US" w:eastAsia="zh-CN"/>
        </w:rPr>
        <w:t>1</w:t>
      </w: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1.湖北省医工交叉产业科技服务赋能与创新生态构建路径研究</w:t>
      </w:r>
    </w:p>
    <w:p w14:paraId="2A99781E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聚焦湖北医工交叉产业“鄂研鄂产”堵点，剖析临床创新与产业化服务链断层等体制机制瓶颈，提出优化概念验证、中试熟化、注册审批等科技服务体系的顶层设计，构建“临床+工程师+资本+服务”全链条赋能的医工交叉创新项目产业化服务平台，助推医工交叉产业创新与高质量发展。（要有纵向横向比较以及详实数据和案例支撑）</w:t>
      </w:r>
    </w:p>
    <w:p w14:paraId="2F2DC30C">
      <w:pPr>
        <w:adjustRightInd w:val="0"/>
        <w:snapToGrid w:val="0"/>
        <w:spacing w:line="600" w:lineRule="exact"/>
        <w:ind w:firstLine="632" w:firstLineChars="200"/>
        <w:rPr>
          <w:rFonts w:hint="eastAsia" w:ascii="黑体" w:hAnsi="黑体" w:eastAsia="黑体" w:cs="方正黑体_GBK"/>
          <w:color w:val="auto"/>
          <w:szCs w:val="32"/>
        </w:rPr>
      </w:pPr>
      <w:r>
        <w:rPr>
          <w:rFonts w:hint="eastAsia" w:ascii="黑体" w:hAnsi="黑体" w:eastAsia="黑体" w:cs="方正黑体_GBK"/>
          <w:color w:val="auto"/>
          <w:szCs w:val="32"/>
        </w:rPr>
        <w:t>二、</w:t>
      </w:r>
      <w:r>
        <w:rPr>
          <w:rFonts w:hint="eastAsia" w:ascii="黑体" w:hAnsi="黑体" w:eastAsia="黑体" w:cs="方正黑体_GBK"/>
          <w:color w:val="auto"/>
          <w:szCs w:val="32"/>
          <w:lang w:eastAsia="zh-CN"/>
        </w:rPr>
        <w:t>提升科技治理能力重要问题研究</w:t>
      </w:r>
      <w:r>
        <w:rPr>
          <w:rFonts w:hint="eastAsia" w:ascii="黑体" w:hAnsi="黑体" w:eastAsia="黑体" w:cs="方正黑体_GBK"/>
          <w:color w:val="auto"/>
          <w:szCs w:val="32"/>
        </w:rPr>
        <w:t>课题</w:t>
      </w:r>
    </w:p>
    <w:p w14:paraId="655235B1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1.新兴技术领域包容审慎监管机制研究</w:t>
      </w:r>
    </w:p>
    <w:p w14:paraId="009CD11A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围绕人工智能、低空经济、生命科学等新兴技术和未来技术未知性、突破性，深入分析现有监管制度的短板问题，提出“沙盒监管”“触发式监管”等新型监管模式的具体实施路径。（要有纵向横向比较以及详实数据和案例支撑）</w:t>
      </w:r>
    </w:p>
    <w:p w14:paraId="3CC508D6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2.重点领域专利导航和专利预警研究</w:t>
      </w:r>
    </w:p>
    <w:p w14:paraId="2F77CB7C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聚焦光通信、自动驾驶、氢能等湖北发展重点产业领域，开展专利导航和专利预警研究，形成分析报告。（要有纵向横向比较以及详实数据和案例支撑）</w:t>
      </w:r>
    </w:p>
    <w:p w14:paraId="25689C9C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3.完善财政科技计划项目经费管理“放管服”改革研究</w:t>
      </w:r>
    </w:p>
    <w:p w14:paraId="51D7284E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落实科技体制改革要求，分析国内改革成效与现存的政策落实不到位、报销繁琐等问题，借鉴美国等国外简化申报流程、强化精准监管的经验，结合我省实际，探索优化经费自主权、减轻科研负担、提升资金效能的路径，为改革深化提供参考。（要有纵向横向比较以及详实数据和案例支撑）</w:t>
      </w:r>
    </w:p>
    <w:p w14:paraId="782B7DA6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4.湖北省推动国家高新区转型升级和高质量发展路径与对策研究</w:t>
      </w:r>
    </w:p>
    <w:p w14:paraId="5E066FF5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梳理分析国家高新区转型升级和高质量发展的基本趋势，聚焦省内国家高新区管理体制、招商模式、“三资”管理、考核评价四个重点，研究提出分类推开“管委会+公司”模式创新、“一区多园”管理改革和“创投孵化+物业租赁+综合开发”复合运营改革的有效路径和对策建议。（要有纵向横向比较以及详实数据和案例支撑）</w:t>
      </w:r>
    </w:p>
    <w:p w14:paraId="17A59871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5.面向仪器开放共享的科技保险机制与路径研究</w:t>
      </w:r>
    </w:p>
    <w:p w14:paraId="27ACC9BA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聚焦科技保险对大型仪器共享的支撑保障作用，探究保险机制如何化解仪器共享用户使用风险、提升仪器使用意愿。重点分析科技保险介入对共享效能的影响机理、保费分担模式及多方权责配置，构建“保险赋能+平台运营+用户受益”的制度框架，以风险兜底保障促进大型仪器开放共享生态优化。（要有纵向横向比较以及详实数据和案例支撑）</w:t>
      </w:r>
    </w:p>
    <w:p w14:paraId="4F66364E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6.湖北省科技创新基地平台动态管理机制研究</w:t>
      </w:r>
    </w:p>
    <w:p w14:paraId="30617B0C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调研梳理湖北省科技创新基地平台的总体布局、建设运行现状及存在问题，深入分析在平台优胜劣汰、动态调整过程中存在的堵点、卡点和难点，学习借鉴国家层面及外省在平台优化重组、定期评估、动态管理等方面的先进经验，研究提出完善湖北省科技创新基地平台动态管理、实现平台提质增效的路径和举措。（要有纵向横向比较以及详实数据和案例支撑）</w:t>
      </w:r>
    </w:p>
    <w:p w14:paraId="63357288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7.湖北省高层次海外科技人才引进精准度与使用效能提升研究</w:t>
      </w:r>
    </w:p>
    <w:p w14:paraId="0C4903E8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围绕湖北省重点产业、重点领域科技创新需求，借鉴国内外先进地区引才用才经验，围绕精准引才、科学育才、高效用才、服务留才等关键环节，总结提炼湖北省人才引进、培育和留用的基础和优势，系统分析当前引才机制、供需匹配、平台支撑、评价激励及服务保障等方面现状与短板，提出提升引才精准度、强化使用效能、完善政策保障的具体举措，为湖北集聚高层次创新人才，打造具有全国影响力的科技创新高地提供支撑。（要有纵向横向比较以及详实数据和案例支撑）</w:t>
      </w:r>
    </w:p>
    <w:p w14:paraId="76ABC10C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8.湖北省国际科技合作动态跟踪与战略价值提升研究</w:t>
      </w:r>
    </w:p>
    <w:p w14:paraId="45A1C9C5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从学术交流、联合研究、平台共建、技术转移、应用示范、出访对接、产业落地、战略研判等维度，对2026年湖北省面向美欧、俄罗斯、周边国家、</w:t>
      </w:r>
      <w:r>
        <w:rPr>
          <w:rFonts w:hint="eastAsia" w:ascii="仿宋_GB2312" w:hAnsi="仿宋_GB2312" w:cs="仿宋_GB2312"/>
          <w:snapToGrid w:val="0"/>
          <w:color w:val="auto"/>
          <w:kern w:val="0"/>
          <w:szCs w:val="32"/>
          <w:lang w:eastAsia="zh-CN"/>
        </w:rPr>
        <w:t>“</w:t>
      </w: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一带一路</w:t>
      </w:r>
      <w:r>
        <w:rPr>
          <w:rFonts w:hint="eastAsia" w:ascii="仿宋_GB2312" w:hAnsi="仿宋_GB2312" w:cs="仿宋_GB2312"/>
          <w:snapToGrid w:val="0"/>
          <w:color w:val="auto"/>
          <w:kern w:val="0"/>
          <w:szCs w:val="32"/>
          <w:lang w:eastAsia="zh-CN"/>
        </w:rPr>
        <w:t>”</w:t>
      </w: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共建国家等重点国别（地区）开展的科技合作进行跟踪研究，分析其在促进科技创新、产业创新、支点建设等方面价值，并提出战略优化建议。（要有纵向横向比较以及详实数据和案例支撑）</w:t>
      </w:r>
    </w:p>
    <w:p w14:paraId="011ACAC1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9.关于湖北省高成长科创企业培育路径与对策研究--以湖北省科创“新物种”企业为例</w:t>
      </w:r>
    </w:p>
    <w:p w14:paraId="50FD6603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snapToGrid w:val="0"/>
          <w:color w:val="auto"/>
          <w:kern w:val="0"/>
          <w:szCs w:val="32"/>
        </w:rPr>
        <w:t>全面总结湖北省科创“新物种”企业培育计划实施情况，对比分析国内外高成长型企业发展现状及典型经验，系统分析湖北省高成长科创企业的发展现状、问题短板，对下一步优化湖北省高成长科创企业培育梯队、指标体系与支持举措提出对策建议。（要有纵向横向比较以及详实数据和案例支撑）</w:t>
      </w:r>
    </w:p>
    <w:p w14:paraId="01FEB229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方正仿宋_GBK" w:cs="方正仿宋_GBK"/>
          <w:color w:val="auto"/>
          <w:szCs w:val="32"/>
        </w:rPr>
      </w:pPr>
      <w:r>
        <w:rPr>
          <w:rFonts w:hint="eastAsia" w:ascii="黑体" w:hAnsi="黑体" w:eastAsia="黑体" w:cs="方正黑体_GBK"/>
          <w:color w:val="auto"/>
          <w:szCs w:val="32"/>
          <w:lang w:eastAsia="zh-CN"/>
        </w:rPr>
        <w:t>三</w:t>
      </w:r>
      <w:r>
        <w:rPr>
          <w:rFonts w:hint="eastAsia" w:ascii="黑体" w:hAnsi="黑体" w:eastAsia="黑体" w:cs="方正黑体_GBK"/>
          <w:color w:val="auto"/>
          <w:szCs w:val="32"/>
        </w:rPr>
        <w:t>、新兴领域分析研究</w:t>
      </w:r>
      <w:r>
        <w:rPr>
          <w:rFonts w:hint="eastAsia" w:ascii="黑体" w:hAnsi="黑体" w:eastAsia="黑体" w:cs="方正黑体_GBK"/>
          <w:color w:val="auto"/>
          <w:szCs w:val="32"/>
          <w:lang w:eastAsia="zh-CN"/>
        </w:rPr>
        <w:t>方向</w:t>
      </w:r>
    </w:p>
    <w:p w14:paraId="302C6688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方正仿宋_GBK" w:cs="方正仿宋_GBK"/>
          <w:color w:val="auto"/>
          <w:szCs w:val="32"/>
        </w:rPr>
      </w:pPr>
      <w:r>
        <w:rPr>
          <w:rFonts w:hint="eastAsia" w:ascii="仿宋_GB2312" w:hAnsi="方正仿宋_GBK" w:cs="方正仿宋_GBK"/>
          <w:color w:val="auto"/>
          <w:szCs w:val="32"/>
        </w:rPr>
        <w:t>申请人围绕以下研究方向，自主设定研究题目。</w:t>
      </w:r>
    </w:p>
    <w:p w14:paraId="056EA9F8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研究方向1：小切口推进</w:t>
      </w: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  <w:lang w:eastAsia="zh-CN"/>
        </w:rPr>
        <w:t>“</w:t>
      </w: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科技金融+</w:t>
      </w: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  <w:lang w:eastAsia="zh-CN"/>
        </w:rPr>
        <w:t>”</w:t>
      </w: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举措研究</w:t>
      </w:r>
    </w:p>
    <w:p w14:paraId="2A0F5B23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方正仿宋_GBK" w:cs="方正仿宋_GBK"/>
          <w:color w:val="auto"/>
          <w:szCs w:val="32"/>
        </w:rPr>
      </w:pPr>
      <w:r>
        <w:rPr>
          <w:rFonts w:hint="eastAsia" w:ascii="仿宋_GB2312" w:hAnsi="方正仿宋_GBK" w:cs="方正仿宋_GBK"/>
          <w:color w:val="auto"/>
          <w:szCs w:val="32"/>
        </w:rPr>
        <w:t>聚焦“投、贷、股、保、担”某个具体领域，深入梳理我省科技金融发展现状，并聚焦该领域提出提升科技金融服务效能的具体举措。</w:t>
      </w:r>
    </w:p>
    <w:p w14:paraId="08C03534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研究方向2：推进人工智能赋能科技创新研究</w:t>
      </w:r>
    </w:p>
    <w:p w14:paraId="53E9160B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方正仿宋_GBK" w:cs="方正仿宋_GBK"/>
          <w:color w:val="auto"/>
          <w:szCs w:val="32"/>
        </w:rPr>
      </w:pPr>
      <w:r>
        <w:rPr>
          <w:rFonts w:hint="eastAsia" w:ascii="仿宋_GB2312" w:hAnsi="方正仿宋_GBK" w:cs="方正仿宋_GBK"/>
          <w:color w:val="auto"/>
          <w:szCs w:val="32"/>
        </w:rPr>
        <w:t>聚焦基础研究、生物医药、新材料、环境保护等某个具体领域，系统梳理人工智能赋能</w:t>
      </w:r>
      <w:r>
        <w:rPr>
          <w:rFonts w:hint="eastAsia" w:ascii="仿宋_GB2312" w:hAnsi="方正仿宋_GBK" w:cs="方正仿宋_GBK"/>
          <w:color w:val="auto"/>
          <w:szCs w:val="32"/>
          <w:lang w:eastAsia="zh-CN"/>
        </w:rPr>
        <w:t>科技创新</w:t>
      </w:r>
      <w:r>
        <w:rPr>
          <w:rFonts w:hint="eastAsia" w:ascii="仿宋_GB2312" w:hAnsi="方正仿宋_GBK" w:cs="方正仿宋_GBK"/>
          <w:color w:val="auto"/>
          <w:szCs w:val="32"/>
        </w:rPr>
        <w:t>的现状，研判发展趋势，提出加快人工智能赋能科技创新的举措建议。</w:t>
      </w:r>
    </w:p>
    <w:p w14:paraId="7D17B328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研究方向3：科技赋能文旅产业发展路径举措研究</w:t>
      </w:r>
    </w:p>
    <w:p w14:paraId="3AEEE36B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方正仿宋_GBK" w:cs="方正仿宋_GBK"/>
          <w:color w:val="auto"/>
          <w:szCs w:val="32"/>
        </w:rPr>
      </w:pPr>
      <w:r>
        <w:rPr>
          <w:rFonts w:hint="eastAsia" w:ascii="仿宋_GB2312" w:hAnsi="方正仿宋_GBK" w:cs="方正仿宋_GBK"/>
          <w:color w:val="auto"/>
          <w:szCs w:val="32"/>
        </w:rPr>
        <w:t>聚焦文化、创意、旅游等具体产业，系统梳理科技赋能的有效做法和发展趋势，提出加快发展的举措建议。</w:t>
      </w:r>
    </w:p>
    <w:p w14:paraId="3856BBF4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研究方向4：重点领域产业链创新链人才链资金链融合现状和对策研究</w:t>
      </w:r>
    </w:p>
    <w:p w14:paraId="1FAB86E2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方正仿宋_GBK" w:cs="方正仿宋_GBK"/>
          <w:color w:val="auto"/>
          <w:szCs w:val="32"/>
        </w:rPr>
      </w:pPr>
      <w:r>
        <w:rPr>
          <w:rFonts w:hint="eastAsia" w:ascii="仿宋_GB2312" w:hAnsi="方正仿宋_GBK" w:cs="方正仿宋_GBK"/>
          <w:color w:val="auto"/>
          <w:szCs w:val="32"/>
        </w:rPr>
        <w:t>聚焦湖北省重点发展的产业领域，以具体产业链为切口，深入分析产业链创新链人才链资金链融合发展现状和存在问题，提出推动有效融合的具体举措建议。</w:t>
      </w:r>
    </w:p>
    <w:p w14:paraId="224C6F4E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研究方向5：小切口推进教育科技人才一体发展研究</w:t>
      </w:r>
    </w:p>
    <w:p w14:paraId="32FE63C0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方正仿宋_GBK" w:cs="方正仿宋_GBK"/>
          <w:color w:val="auto"/>
          <w:szCs w:val="32"/>
        </w:rPr>
      </w:pPr>
      <w:r>
        <w:rPr>
          <w:rFonts w:hint="eastAsia" w:ascii="仿宋_GB2312" w:hAnsi="方正仿宋_GBK" w:cs="方正仿宋_GBK"/>
          <w:color w:val="auto"/>
          <w:szCs w:val="32"/>
        </w:rPr>
        <w:t>聚焦一体推进教育科技人才发展，从小切口梳理深入总结我省以及其他省份有效举措做法，结合湖北实际</w:t>
      </w:r>
      <w:r>
        <w:rPr>
          <w:rFonts w:hint="eastAsia" w:ascii="仿宋_GB2312" w:hAnsi="方正仿宋_GBK" w:cs="方正仿宋_GBK"/>
          <w:color w:val="auto"/>
          <w:szCs w:val="32"/>
          <w:lang w:eastAsia="zh-CN"/>
        </w:rPr>
        <w:t>，</w:t>
      </w:r>
      <w:r>
        <w:rPr>
          <w:rFonts w:hint="eastAsia" w:ascii="仿宋_GB2312" w:hAnsi="方正仿宋_GBK" w:cs="方正仿宋_GBK"/>
          <w:color w:val="auto"/>
          <w:szCs w:val="32"/>
        </w:rPr>
        <w:t>提出推进教育科技人才一体</w:t>
      </w:r>
      <w:r>
        <w:rPr>
          <w:rFonts w:hint="eastAsia" w:ascii="仿宋_GB2312" w:hAnsi="方正仿宋_GBK" w:cs="方正仿宋_GBK"/>
          <w:color w:val="auto"/>
          <w:szCs w:val="32"/>
          <w:lang w:eastAsia="zh-CN"/>
        </w:rPr>
        <w:t>发展</w:t>
      </w:r>
      <w:r>
        <w:rPr>
          <w:rFonts w:hint="eastAsia" w:ascii="仿宋_GB2312" w:hAnsi="方正仿宋_GBK" w:cs="方正仿宋_GBK"/>
          <w:color w:val="auto"/>
          <w:szCs w:val="32"/>
        </w:rPr>
        <w:t>的具体举措建议。</w:t>
      </w:r>
    </w:p>
    <w:p w14:paraId="308ED09F">
      <w:pPr>
        <w:adjustRightInd w:val="0"/>
        <w:snapToGrid w:val="0"/>
        <w:spacing w:line="600" w:lineRule="exact"/>
        <w:ind w:firstLine="632" w:firstLineChars="200"/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</w:pP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研究方向</w:t>
      </w: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  <w:lang w:val="en-US" w:eastAsia="zh-CN"/>
        </w:rPr>
        <w:t>6</w:t>
      </w: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：科技企业创新能力现状和需求调</w:t>
      </w: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  <w:lang w:eastAsia="zh-CN"/>
        </w:rPr>
        <w:t>查</w:t>
      </w:r>
      <w:r>
        <w:rPr>
          <w:rFonts w:hint="eastAsia" w:ascii="楷体_GB2312" w:hAnsi="仿宋_GB2312" w:eastAsia="楷体_GB2312" w:cs="仿宋_GB2312"/>
          <w:bCs/>
          <w:snapToGrid w:val="0"/>
          <w:color w:val="auto"/>
          <w:kern w:val="0"/>
          <w:szCs w:val="32"/>
        </w:rPr>
        <w:t>研究</w:t>
      </w:r>
    </w:p>
    <w:p w14:paraId="1435424F">
      <w:pPr>
        <w:adjustRightInd w:val="0"/>
        <w:snapToGrid w:val="0"/>
        <w:spacing w:line="600" w:lineRule="exact"/>
        <w:ind w:firstLine="632" w:firstLineChars="200"/>
        <w:rPr>
          <w:rFonts w:hint="eastAsia" w:ascii="仿宋_GB2312" w:hAnsi="黑体" w:cs="方正黑体_GBK"/>
          <w:color w:val="auto"/>
          <w:szCs w:val="32"/>
        </w:rPr>
      </w:pPr>
      <w:r>
        <w:rPr>
          <w:rFonts w:hint="eastAsia" w:ascii="仿宋_GB2312" w:hAnsi="方正仿宋_GBK" w:cs="方正仿宋_GBK"/>
          <w:color w:val="auto"/>
          <w:szCs w:val="32"/>
        </w:rPr>
        <w:t>聚焦传统产业、新兴产业和未来产业领域</w:t>
      </w:r>
      <w:r>
        <w:rPr>
          <w:rFonts w:hint="eastAsia" w:ascii="仿宋_GB2312" w:hAnsi="方正仿宋_GBK" w:cs="方正仿宋_GBK"/>
          <w:color w:val="auto"/>
          <w:szCs w:val="32"/>
          <w:lang w:eastAsia="zh-CN"/>
        </w:rPr>
        <w:t>的</w:t>
      </w:r>
      <w:r>
        <w:rPr>
          <w:rFonts w:hint="eastAsia" w:ascii="仿宋_GB2312" w:hAnsi="方正仿宋_GBK" w:cs="方正仿宋_GBK"/>
          <w:color w:val="auto"/>
          <w:szCs w:val="32"/>
        </w:rPr>
        <w:t>科技创新需求，在深度且广泛调研（问卷不少于100家且实地调研不少于30家）基础上，分析企业创新能力现状和需求。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B768D4-3484-45F5-9088-A3028D140B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A7C491EE-844D-4F00-B466-A9AA5F4328F1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806AACA-3AE5-4C21-8867-6AED5464083E}"/>
  </w:font>
  <w:font w:name="长城小标宋体">
    <w:altName w:val="方正小标宋简体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29BEB799-F8C4-479C-851B-E6C966FD6A89}"/>
  </w:font>
  <w:font w:name="汉仪楷体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小标宋_GBK">
    <w:altName w:val="方正小标宋简体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5" w:fontKey="{FE6462F2-68BB-4A2F-B591-E470C7581B53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6" w:fontKey="{2A026B69-FBDC-405C-BB12-39FFD545B5A0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7" w:fontKey="{A3527C8C-6B7F-40B2-B01A-7812AC1390FE}"/>
  </w:font>
  <w:font w:name="仿宋-简">
    <w:altName w:val="仿宋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““Times New Roman”“">
    <w:altName w:val="Times New Roman"/>
    <w:panose1 w:val="00000000000000000000"/>
    <w:charset w:val="00"/>
    <w:family w:val="roman"/>
    <w:pitch w:val="default"/>
    <w:sig w:usb0="00000000" w:usb1="00000000" w:usb2="00000000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F65957CC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CD013C">
    <w:pPr>
      <w:pStyle w:val="13"/>
      <w:jc w:val="right"/>
      <w:rPr>
        <w:rFonts w:ascii="宋体" w:hAnsi="宋体" w:eastAsia="宋体"/>
        <w:color w:val="auto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770A3C">
                          <w:pPr>
                            <w:pStyle w:val="13"/>
                            <w:jc w:val="right"/>
                          </w:pP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iiZIt4BAAC+AwAADgAAAGRycy9lMm9Eb2MueG1srVNLjhMxEN0jcQfL&#10;e+KeSIO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OKJki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770A3C">
                    <w:pPr>
                      <w:pStyle w:val="13"/>
                      <w:jc w:val="right"/>
                    </w:pP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58386FA"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D40568">
    <w:pPr>
      <w:pStyle w:val="13"/>
      <w:rPr>
        <w:rFonts w:ascii="宋体" w:hAnsi="宋体" w:eastAsia="宋体"/>
        <w:color w:val="auto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8BC000">
                          <w:pPr>
                            <w:pStyle w:val="13"/>
                          </w:pP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t xml:space="preserve"> 22 -</w: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AQSiza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88BC000">
                    <w:pPr>
                      <w:pStyle w:val="13"/>
                    </w:pP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t xml:space="preserve"> 22 -</w: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AECA816"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684"/>
    <w:rsid w:val="000112F6"/>
    <w:rsid w:val="00026876"/>
    <w:rsid w:val="00026D5B"/>
    <w:rsid w:val="00030600"/>
    <w:rsid w:val="000310CC"/>
    <w:rsid w:val="000408AB"/>
    <w:rsid w:val="00080C56"/>
    <w:rsid w:val="00087705"/>
    <w:rsid w:val="00097110"/>
    <w:rsid w:val="000B7770"/>
    <w:rsid w:val="000D6C78"/>
    <w:rsid w:val="000E00F5"/>
    <w:rsid w:val="000E1CD6"/>
    <w:rsid w:val="000E36A2"/>
    <w:rsid w:val="000E7DF8"/>
    <w:rsid w:val="000F3CB5"/>
    <w:rsid w:val="000F4FD7"/>
    <w:rsid w:val="001128CC"/>
    <w:rsid w:val="00122E59"/>
    <w:rsid w:val="00123087"/>
    <w:rsid w:val="001520D0"/>
    <w:rsid w:val="00156901"/>
    <w:rsid w:val="001615FF"/>
    <w:rsid w:val="0017111F"/>
    <w:rsid w:val="00184D2B"/>
    <w:rsid w:val="001A59E6"/>
    <w:rsid w:val="001B6292"/>
    <w:rsid w:val="001C102E"/>
    <w:rsid w:val="001C42CE"/>
    <w:rsid w:val="001D28AA"/>
    <w:rsid w:val="001F275C"/>
    <w:rsid w:val="001F34DE"/>
    <w:rsid w:val="001F7BB1"/>
    <w:rsid w:val="00201B5E"/>
    <w:rsid w:val="00217A36"/>
    <w:rsid w:val="00217CE1"/>
    <w:rsid w:val="00236FE9"/>
    <w:rsid w:val="00237150"/>
    <w:rsid w:val="00251C37"/>
    <w:rsid w:val="00263732"/>
    <w:rsid w:val="00277C6F"/>
    <w:rsid w:val="0028293C"/>
    <w:rsid w:val="002864D6"/>
    <w:rsid w:val="002A3333"/>
    <w:rsid w:val="002A3DDD"/>
    <w:rsid w:val="002B7178"/>
    <w:rsid w:val="002E4684"/>
    <w:rsid w:val="002E75BE"/>
    <w:rsid w:val="002F6152"/>
    <w:rsid w:val="00307A95"/>
    <w:rsid w:val="003349CF"/>
    <w:rsid w:val="00347697"/>
    <w:rsid w:val="003513F0"/>
    <w:rsid w:val="00355827"/>
    <w:rsid w:val="00363A42"/>
    <w:rsid w:val="003715B2"/>
    <w:rsid w:val="00376C36"/>
    <w:rsid w:val="00385770"/>
    <w:rsid w:val="00387125"/>
    <w:rsid w:val="003B5147"/>
    <w:rsid w:val="003B58B3"/>
    <w:rsid w:val="003B6B53"/>
    <w:rsid w:val="003D0F3C"/>
    <w:rsid w:val="003E38B9"/>
    <w:rsid w:val="003E6108"/>
    <w:rsid w:val="003F108B"/>
    <w:rsid w:val="003F55EE"/>
    <w:rsid w:val="003F7C0A"/>
    <w:rsid w:val="004139A9"/>
    <w:rsid w:val="00417EB1"/>
    <w:rsid w:val="00441D86"/>
    <w:rsid w:val="00445AE4"/>
    <w:rsid w:val="004805E4"/>
    <w:rsid w:val="0048435D"/>
    <w:rsid w:val="00484AC8"/>
    <w:rsid w:val="004855F1"/>
    <w:rsid w:val="00490D64"/>
    <w:rsid w:val="00494A4F"/>
    <w:rsid w:val="00494C5C"/>
    <w:rsid w:val="00496558"/>
    <w:rsid w:val="0049781C"/>
    <w:rsid w:val="004C51D2"/>
    <w:rsid w:val="004E44D3"/>
    <w:rsid w:val="004F2942"/>
    <w:rsid w:val="004F4530"/>
    <w:rsid w:val="00502A45"/>
    <w:rsid w:val="0052559B"/>
    <w:rsid w:val="00561AD4"/>
    <w:rsid w:val="005673EB"/>
    <w:rsid w:val="00572EAA"/>
    <w:rsid w:val="00574B86"/>
    <w:rsid w:val="0057692E"/>
    <w:rsid w:val="0057721A"/>
    <w:rsid w:val="00577DAB"/>
    <w:rsid w:val="00584E0E"/>
    <w:rsid w:val="00590C99"/>
    <w:rsid w:val="005B0334"/>
    <w:rsid w:val="005B4D51"/>
    <w:rsid w:val="005B5BF6"/>
    <w:rsid w:val="005B6083"/>
    <w:rsid w:val="005B7796"/>
    <w:rsid w:val="005C4399"/>
    <w:rsid w:val="005D6E15"/>
    <w:rsid w:val="005D742F"/>
    <w:rsid w:val="005F3B00"/>
    <w:rsid w:val="00600B79"/>
    <w:rsid w:val="00621CDD"/>
    <w:rsid w:val="0063634E"/>
    <w:rsid w:val="006366C5"/>
    <w:rsid w:val="00647B4C"/>
    <w:rsid w:val="0065043D"/>
    <w:rsid w:val="006600EA"/>
    <w:rsid w:val="006675F3"/>
    <w:rsid w:val="006A3AEA"/>
    <w:rsid w:val="006A61E6"/>
    <w:rsid w:val="006B3C72"/>
    <w:rsid w:val="006D0BD9"/>
    <w:rsid w:val="006D139D"/>
    <w:rsid w:val="006D7FF3"/>
    <w:rsid w:val="006E4658"/>
    <w:rsid w:val="006E7BE2"/>
    <w:rsid w:val="006F432D"/>
    <w:rsid w:val="006F74CD"/>
    <w:rsid w:val="006F7B44"/>
    <w:rsid w:val="006F7EC4"/>
    <w:rsid w:val="00714ABB"/>
    <w:rsid w:val="007161A4"/>
    <w:rsid w:val="007172B1"/>
    <w:rsid w:val="00744C34"/>
    <w:rsid w:val="007461A5"/>
    <w:rsid w:val="00755C79"/>
    <w:rsid w:val="00755E2B"/>
    <w:rsid w:val="00757474"/>
    <w:rsid w:val="00761718"/>
    <w:rsid w:val="00764941"/>
    <w:rsid w:val="00764E10"/>
    <w:rsid w:val="007652A6"/>
    <w:rsid w:val="007710C9"/>
    <w:rsid w:val="007745F1"/>
    <w:rsid w:val="00776122"/>
    <w:rsid w:val="0078263D"/>
    <w:rsid w:val="007852CF"/>
    <w:rsid w:val="0079387B"/>
    <w:rsid w:val="00797ADE"/>
    <w:rsid w:val="007A1DAB"/>
    <w:rsid w:val="007A6606"/>
    <w:rsid w:val="007B5116"/>
    <w:rsid w:val="007C5A98"/>
    <w:rsid w:val="007D1083"/>
    <w:rsid w:val="007D7000"/>
    <w:rsid w:val="007F27C5"/>
    <w:rsid w:val="007F4BEF"/>
    <w:rsid w:val="0080601E"/>
    <w:rsid w:val="00816DD5"/>
    <w:rsid w:val="00824C85"/>
    <w:rsid w:val="008313B0"/>
    <w:rsid w:val="00840B5E"/>
    <w:rsid w:val="00852147"/>
    <w:rsid w:val="00855701"/>
    <w:rsid w:val="00856250"/>
    <w:rsid w:val="00897FE5"/>
    <w:rsid w:val="008A6CF2"/>
    <w:rsid w:val="008D250B"/>
    <w:rsid w:val="008E4AB8"/>
    <w:rsid w:val="008F0A52"/>
    <w:rsid w:val="008F24CC"/>
    <w:rsid w:val="009014E0"/>
    <w:rsid w:val="009021AE"/>
    <w:rsid w:val="00906F7F"/>
    <w:rsid w:val="009404AB"/>
    <w:rsid w:val="00945E23"/>
    <w:rsid w:val="009545B7"/>
    <w:rsid w:val="00963B73"/>
    <w:rsid w:val="00965E26"/>
    <w:rsid w:val="0097030D"/>
    <w:rsid w:val="009811F9"/>
    <w:rsid w:val="00987FE2"/>
    <w:rsid w:val="0099670F"/>
    <w:rsid w:val="009B31D6"/>
    <w:rsid w:val="009C5966"/>
    <w:rsid w:val="009D25BE"/>
    <w:rsid w:val="009D7CE4"/>
    <w:rsid w:val="00A00112"/>
    <w:rsid w:val="00A03495"/>
    <w:rsid w:val="00A10BB6"/>
    <w:rsid w:val="00A20E89"/>
    <w:rsid w:val="00A275BA"/>
    <w:rsid w:val="00A34E2E"/>
    <w:rsid w:val="00A41297"/>
    <w:rsid w:val="00A4468D"/>
    <w:rsid w:val="00A45908"/>
    <w:rsid w:val="00A57ACC"/>
    <w:rsid w:val="00A64C97"/>
    <w:rsid w:val="00A701B5"/>
    <w:rsid w:val="00A809B6"/>
    <w:rsid w:val="00A866AB"/>
    <w:rsid w:val="00A87FC0"/>
    <w:rsid w:val="00AC1387"/>
    <w:rsid w:val="00AC25D5"/>
    <w:rsid w:val="00AE0559"/>
    <w:rsid w:val="00AE2C4B"/>
    <w:rsid w:val="00AE68F5"/>
    <w:rsid w:val="00AF2F67"/>
    <w:rsid w:val="00B02B06"/>
    <w:rsid w:val="00B10372"/>
    <w:rsid w:val="00B172F1"/>
    <w:rsid w:val="00B26598"/>
    <w:rsid w:val="00B27228"/>
    <w:rsid w:val="00B36783"/>
    <w:rsid w:val="00B40289"/>
    <w:rsid w:val="00B73C1E"/>
    <w:rsid w:val="00B8764F"/>
    <w:rsid w:val="00B951E1"/>
    <w:rsid w:val="00BB79BA"/>
    <w:rsid w:val="00BB79C0"/>
    <w:rsid w:val="00BC3C1B"/>
    <w:rsid w:val="00BD2B36"/>
    <w:rsid w:val="00BD4B5B"/>
    <w:rsid w:val="00BF6594"/>
    <w:rsid w:val="00C01BB8"/>
    <w:rsid w:val="00C17243"/>
    <w:rsid w:val="00C30E84"/>
    <w:rsid w:val="00C33B73"/>
    <w:rsid w:val="00C5717E"/>
    <w:rsid w:val="00C61549"/>
    <w:rsid w:val="00C919E1"/>
    <w:rsid w:val="00CA4C86"/>
    <w:rsid w:val="00CA719E"/>
    <w:rsid w:val="00CB6E0A"/>
    <w:rsid w:val="00CD3CE1"/>
    <w:rsid w:val="00CE0230"/>
    <w:rsid w:val="00CE6A36"/>
    <w:rsid w:val="00D0042C"/>
    <w:rsid w:val="00D12AE5"/>
    <w:rsid w:val="00D26170"/>
    <w:rsid w:val="00D51494"/>
    <w:rsid w:val="00D5620F"/>
    <w:rsid w:val="00D70452"/>
    <w:rsid w:val="00D80EA4"/>
    <w:rsid w:val="00DC73DC"/>
    <w:rsid w:val="00DF4263"/>
    <w:rsid w:val="00E039F0"/>
    <w:rsid w:val="00E103DD"/>
    <w:rsid w:val="00E31EAC"/>
    <w:rsid w:val="00E33867"/>
    <w:rsid w:val="00E45DF5"/>
    <w:rsid w:val="00E601BC"/>
    <w:rsid w:val="00E61163"/>
    <w:rsid w:val="00EC4226"/>
    <w:rsid w:val="00ED06B7"/>
    <w:rsid w:val="00ED0F27"/>
    <w:rsid w:val="00EE1008"/>
    <w:rsid w:val="00EF0A36"/>
    <w:rsid w:val="00F04EDA"/>
    <w:rsid w:val="00F0612A"/>
    <w:rsid w:val="00F13380"/>
    <w:rsid w:val="00F24AC2"/>
    <w:rsid w:val="00F30F9C"/>
    <w:rsid w:val="00F329B1"/>
    <w:rsid w:val="00F33796"/>
    <w:rsid w:val="00F341D1"/>
    <w:rsid w:val="00F34689"/>
    <w:rsid w:val="00F34B65"/>
    <w:rsid w:val="00F559C3"/>
    <w:rsid w:val="00F64B7F"/>
    <w:rsid w:val="00FA4F62"/>
    <w:rsid w:val="00FA5932"/>
    <w:rsid w:val="00FB72FC"/>
    <w:rsid w:val="00FB782C"/>
    <w:rsid w:val="00FC1FBD"/>
    <w:rsid w:val="00FC6A32"/>
    <w:rsid w:val="00FC6F13"/>
    <w:rsid w:val="2DFE3322"/>
    <w:rsid w:val="2F7DBFA9"/>
    <w:rsid w:val="2FAEFBCD"/>
    <w:rsid w:val="2FCD82A1"/>
    <w:rsid w:val="37CF379C"/>
    <w:rsid w:val="3CCBDAE6"/>
    <w:rsid w:val="3E1FD539"/>
    <w:rsid w:val="4B1A3BC0"/>
    <w:rsid w:val="56DB1D22"/>
    <w:rsid w:val="5EAF6156"/>
    <w:rsid w:val="5EFB1679"/>
    <w:rsid w:val="5FBFA87F"/>
    <w:rsid w:val="67FF5C74"/>
    <w:rsid w:val="6B4D4DBE"/>
    <w:rsid w:val="77F6A3EA"/>
    <w:rsid w:val="78BB4434"/>
    <w:rsid w:val="78FB3D99"/>
    <w:rsid w:val="7AFFFB7D"/>
    <w:rsid w:val="7BEDE885"/>
    <w:rsid w:val="7BF9303C"/>
    <w:rsid w:val="7DB7DB05"/>
    <w:rsid w:val="7DFEDD8B"/>
    <w:rsid w:val="7E7CB1F5"/>
    <w:rsid w:val="7E7F1ADA"/>
    <w:rsid w:val="7EEFD094"/>
    <w:rsid w:val="7F2FFAEE"/>
    <w:rsid w:val="7F8F6A02"/>
    <w:rsid w:val="7FFD3940"/>
    <w:rsid w:val="7FFFD8C2"/>
    <w:rsid w:val="9D4F7050"/>
    <w:rsid w:val="9FBDE4E3"/>
    <w:rsid w:val="A67B099A"/>
    <w:rsid w:val="A7FAE599"/>
    <w:rsid w:val="AFCF0403"/>
    <w:rsid w:val="BA7FBCD0"/>
    <w:rsid w:val="BD7B119E"/>
    <w:rsid w:val="BDE55839"/>
    <w:rsid w:val="BED93F25"/>
    <w:rsid w:val="D5FF7519"/>
    <w:rsid w:val="DD3EDF7E"/>
    <w:rsid w:val="DE7ED1BC"/>
    <w:rsid w:val="DF9E0359"/>
    <w:rsid w:val="EAFFA22F"/>
    <w:rsid w:val="ED7E8EFE"/>
    <w:rsid w:val="EF79E12A"/>
    <w:rsid w:val="EF9F657D"/>
    <w:rsid w:val="EFFF9FFA"/>
    <w:rsid w:val="F3572005"/>
    <w:rsid w:val="F7E9661B"/>
    <w:rsid w:val="FB5FDBCA"/>
    <w:rsid w:val="FBBF82AB"/>
    <w:rsid w:val="FBDCB5F7"/>
    <w:rsid w:val="FBF7A40B"/>
    <w:rsid w:val="FBFDB87D"/>
    <w:rsid w:val="FD8FDAC0"/>
    <w:rsid w:val="FF9E5A95"/>
    <w:rsid w:val="FFC779AF"/>
    <w:rsid w:val="FFDF772F"/>
    <w:rsid w:val="FFF3D4CF"/>
    <w:rsid w:val="FFFAB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nhideWhenUsed="0" w:uiPriority="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FF0000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uppressAutoHyphens/>
      <w:spacing w:before="120" w:after="60" w:line="360" w:lineRule="auto"/>
      <w:ind w:firstLine="883" w:firstLineChars="200"/>
      <w:jc w:val="left"/>
      <w:outlineLvl w:val="0"/>
    </w:pPr>
    <w:rPr>
      <w:rFonts w:ascii="Calibri" w:hAnsi="Calibri" w:eastAsia="黑体"/>
      <w:b/>
      <w:color w:val="auto"/>
      <w:kern w:val="44"/>
      <w:szCs w:val="24"/>
    </w:rPr>
  </w:style>
  <w:style w:type="paragraph" w:styleId="3">
    <w:name w:val="heading 2"/>
    <w:basedOn w:val="1"/>
    <w:next w:val="1"/>
    <w:link w:val="28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color w:val="auto"/>
      <w:szCs w:val="32"/>
    </w:rPr>
  </w:style>
  <w:style w:type="paragraph" w:styleId="4">
    <w:name w:val="heading 3"/>
    <w:basedOn w:val="1"/>
    <w:next w:val="1"/>
    <w:link w:val="29"/>
    <w:qFormat/>
    <w:uiPriority w:val="9"/>
    <w:pPr>
      <w:adjustRightInd w:val="0"/>
      <w:snapToGrid w:val="0"/>
      <w:spacing w:line="336" w:lineRule="auto"/>
      <w:ind w:firstLine="856" w:firstLineChars="200"/>
      <w:outlineLvl w:val="2"/>
    </w:pPr>
    <w:rPr>
      <w:b/>
      <w:bCs/>
      <w:color w:val="auto"/>
      <w:szCs w:val="32"/>
    </w:rPr>
  </w:style>
  <w:style w:type="paragraph" w:styleId="5">
    <w:name w:val="heading 4"/>
    <w:basedOn w:val="1"/>
    <w:next w:val="1"/>
    <w:link w:val="3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23">
    <w:name w:val="Default Paragraph Font"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ind w:firstLine="420" w:firstLineChars="200"/>
    </w:pPr>
    <w:rPr>
      <w:rFonts w:ascii="Calibri" w:hAnsi="Calibri" w:eastAsia="宋体"/>
      <w:color w:val="auto"/>
      <w:sz w:val="21"/>
      <w:szCs w:val="24"/>
    </w:rPr>
  </w:style>
  <w:style w:type="paragraph" w:styleId="7">
    <w:name w:val="Body Text"/>
    <w:basedOn w:val="1"/>
    <w:link w:val="31"/>
    <w:qFormat/>
    <w:uiPriority w:val="0"/>
    <w:rPr>
      <w:rFonts w:ascii="Calibri" w:hAnsi="Calibri" w:eastAsia="宋体" w:cs="Calibri"/>
      <w:color w:val="auto"/>
      <w:sz w:val="21"/>
      <w:szCs w:val="21"/>
    </w:rPr>
  </w:style>
  <w:style w:type="paragraph" w:styleId="8">
    <w:name w:val="Body Text Indent"/>
    <w:basedOn w:val="1"/>
    <w:link w:val="32"/>
    <w:qFormat/>
    <w:uiPriority w:val="99"/>
    <w:pPr>
      <w:spacing w:after="120"/>
      <w:ind w:left="420" w:leftChars="200"/>
    </w:pPr>
  </w:style>
  <w:style w:type="paragraph" w:styleId="9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eastAsia="宋体"/>
      <w:color w:val="auto"/>
      <w:sz w:val="21"/>
      <w:szCs w:val="24"/>
    </w:rPr>
  </w:style>
  <w:style w:type="paragraph" w:styleId="10">
    <w:name w:val="Plain Text"/>
    <w:basedOn w:val="1"/>
    <w:link w:val="33"/>
    <w:unhideWhenUsed/>
    <w:qFormat/>
    <w:uiPriority w:val="0"/>
    <w:rPr>
      <w:rFonts w:ascii="宋体" w:hAnsi="Courier New" w:eastAsia="仿宋"/>
      <w:color w:val="auto"/>
      <w:szCs w:val="22"/>
    </w:rPr>
  </w:style>
  <w:style w:type="paragraph" w:styleId="11">
    <w:name w:val="Date"/>
    <w:basedOn w:val="1"/>
    <w:next w:val="1"/>
    <w:link w:val="34"/>
    <w:qFormat/>
    <w:uiPriority w:val="99"/>
    <w:pPr>
      <w:ind w:left="100" w:leftChars="2500"/>
    </w:pPr>
  </w:style>
  <w:style w:type="paragraph" w:styleId="12">
    <w:name w:val="Balloon Text"/>
    <w:basedOn w:val="1"/>
    <w:link w:val="35"/>
    <w:unhideWhenUsed/>
    <w:qFormat/>
    <w:uiPriority w:val="99"/>
    <w:rPr>
      <w:rFonts w:eastAsia="宋体"/>
      <w:color w:val="auto"/>
      <w:sz w:val="18"/>
      <w:szCs w:val="18"/>
    </w:rPr>
  </w:style>
  <w:style w:type="paragraph" w:styleId="13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link w:val="3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5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Cs w:val="32"/>
    </w:rPr>
  </w:style>
  <w:style w:type="paragraph" w:styleId="16">
    <w:name w:val="Body Text 2"/>
    <w:basedOn w:val="1"/>
    <w:link w:val="39"/>
    <w:unhideWhenUsed/>
    <w:qFormat/>
    <w:uiPriority w:val="0"/>
    <w:pPr>
      <w:spacing w:after="120" w:line="480" w:lineRule="auto"/>
    </w:pPr>
    <w:rPr>
      <w:rFonts w:eastAsia="宋体"/>
      <w:color w:val="auto"/>
      <w:sz w:val="21"/>
      <w:szCs w:val="22"/>
    </w:rPr>
  </w:style>
  <w:style w:type="paragraph" w:styleId="17">
    <w:name w:val="HTML Preformatted"/>
    <w:basedOn w:val="1"/>
    <w:link w:val="40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jc w:val="left"/>
    </w:pPr>
    <w:rPr>
      <w:rFonts w:hint="eastAsia" w:ascii="宋体" w:hAnsi="宋体" w:eastAsia="宋体"/>
      <w:color w:val="auto"/>
      <w:kern w:val="0"/>
      <w:sz w:val="24"/>
      <w:szCs w:val="24"/>
    </w:rPr>
  </w:style>
  <w:style w:type="paragraph" w:styleId="1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paragraph" w:styleId="19">
    <w:name w:val="Title"/>
    <w:basedOn w:val="1"/>
    <w:next w:val="1"/>
    <w:link w:val="4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  <w:style w:type="paragraph" w:styleId="20">
    <w:name w:val="Body Text First Indent 2"/>
    <w:basedOn w:val="8"/>
    <w:link w:val="42"/>
    <w:qFormat/>
    <w:uiPriority w:val="99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22"/>
    <w:rPr>
      <w:b/>
      <w:bCs/>
    </w:rPr>
  </w:style>
  <w:style w:type="character" w:styleId="25">
    <w:name w:val="page number"/>
    <w:basedOn w:val="23"/>
    <w:qFormat/>
    <w:uiPriority w:val="0"/>
  </w:style>
  <w:style w:type="character" w:styleId="26">
    <w:name w:val="Hyperlink"/>
    <w:basedOn w:val="23"/>
    <w:qFormat/>
    <w:uiPriority w:val="0"/>
    <w:rPr>
      <w:color w:val="0000FF"/>
      <w:u w:val="single"/>
    </w:rPr>
  </w:style>
  <w:style w:type="character" w:customStyle="1" w:styleId="27">
    <w:name w:val="标题 1 Char"/>
    <w:basedOn w:val="23"/>
    <w:link w:val="2"/>
    <w:qFormat/>
    <w:uiPriority w:val="9"/>
    <w:rPr>
      <w:rFonts w:ascii="Calibri" w:hAnsi="Calibri" w:eastAsia="黑体"/>
      <w:b/>
      <w:kern w:val="44"/>
      <w:sz w:val="32"/>
      <w:szCs w:val="24"/>
    </w:rPr>
  </w:style>
  <w:style w:type="character" w:customStyle="1" w:styleId="28">
    <w:name w:val="标题 2 Char"/>
    <w:basedOn w:val="23"/>
    <w:link w:val="3"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29">
    <w:name w:val="标题 3 Char"/>
    <w:basedOn w:val="23"/>
    <w:link w:val="4"/>
    <w:qFormat/>
    <w:uiPriority w:val="9"/>
    <w:rPr>
      <w:rFonts w:eastAsia="仿宋_GB2312"/>
      <w:b/>
      <w:bCs/>
      <w:kern w:val="2"/>
      <w:sz w:val="32"/>
      <w:szCs w:val="32"/>
    </w:rPr>
  </w:style>
  <w:style w:type="character" w:customStyle="1" w:styleId="30">
    <w:name w:val="标题 4 Char"/>
    <w:basedOn w:val="23"/>
    <w:link w:val="5"/>
    <w:semiHidden/>
    <w:qFormat/>
    <w:uiPriority w:val="0"/>
    <w:rPr>
      <w:rFonts w:ascii="Cambria" w:hAnsi="Cambria" w:eastAsia="宋体" w:cs="Times New Roman"/>
      <w:b/>
      <w:bCs/>
      <w:color w:val="FF0000"/>
      <w:kern w:val="2"/>
      <w:sz w:val="28"/>
      <w:szCs w:val="28"/>
    </w:rPr>
  </w:style>
  <w:style w:type="character" w:customStyle="1" w:styleId="31">
    <w:name w:val="正文文本 Char"/>
    <w:basedOn w:val="23"/>
    <w:link w:val="7"/>
    <w:qFormat/>
    <w:uiPriority w:val="0"/>
    <w:rPr>
      <w:rFonts w:ascii="Calibri" w:hAnsi="Calibri" w:cs="Calibri"/>
      <w:kern w:val="2"/>
      <w:sz w:val="21"/>
      <w:szCs w:val="21"/>
    </w:rPr>
  </w:style>
  <w:style w:type="character" w:customStyle="1" w:styleId="32">
    <w:name w:val="正文文本缩进 Char"/>
    <w:basedOn w:val="23"/>
    <w:link w:val="8"/>
    <w:qFormat/>
    <w:uiPriority w:val="99"/>
    <w:rPr>
      <w:rFonts w:eastAsia="仿宋_GB2312"/>
      <w:color w:val="FF0000"/>
      <w:kern w:val="2"/>
      <w:sz w:val="32"/>
    </w:rPr>
  </w:style>
  <w:style w:type="character" w:customStyle="1" w:styleId="33">
    <w:name w:val="纯文本 Char"/>
    <w:basedOn w:val="23"/>
    <w:link w:val="10"/>
    <w:qFormat/>
    <w:uiPriority w:val="0"/>
    <w:rPr>
      <w:rFonts w:ascii="宋体" w:hAnsi="Courier New" w:eastAsia="仿宋"/>
      <w:kern w:val="2"/>
      <w:sz w:val="32"/>
      <w:szCs w:val="22"/>
    </w:rPr>
  </w:style>
  <w:style w:type="character" w:customStyle="1" w:styleId="34">
    <w:name w:val="日期 Char"/>
    <w:basedOn w:val="23"/>
    <w:link w:val="11"/>
    <w:qFormat/>
    <w:uiPriority w:val="99"/>
    <w:rPr>
      <w:rFonts w:eastAsia="仿宋_GB2312"/>
      <w:color w:val="FF0000"/>
      <w:kern w:val="2"/>
      <w:sz w:val="32"/>
    </w:rPr>
  </w:style>
  <w:style w:type="character" w:customStyle="1" w:styleId="35">
    <w:name w:val="批注框文本 Char"/>
    <w:basedOn w:val="23"/>
    <w:link w:val="12"/>
    <w:qFormat/>
    <w:uiPriority w:val="99"/>
    <w:rPr>
      <w:kern w:val="2"/>
      <w:sz w:val="18"/>
      <w:szCs w:val="18"/>
    </w:rPr>
  </w:style>
  <w:style w:type="character" w:customStyle="1" w:styleId="36">
    <w:name w:val="页脚 Char"/>
    <w:basedOn w:val="23"/>
    <w:link w:val="13"/>
    <w:qFormat/>
    <w:uiPriority w:val="99"/>
    <w:rPr>
      <w:rFonts w:eastAsia="仿宋_GB2312"/>
      <w:color w:val="FF0000"/>
      <w:kern w:val="2"/>
      <w:sz w:val="18"/>
    </w:rPr>
  </w:style>
  <w:style w:type="character" w:customStyle="1" w:styleId="37">
    <w:name w:val="页眉 Char"/>
    <w:basedOn w:val="23"/>
    <w:link w:val="14"/>
    <w:qFormat/>
    <w:uiPriority w:val="0"/>
    <w:rPr>
      <w:rFonts w:eastAsia="仿宋_GB2312"/>
      <w:color w:val="FF0000"/>
      <w:kern w:val="2"/>
      <w:sz w:val="18"/>
    </w:rPr>
  </w:style>
  <w:style w:type="character" w:customStyle="1" w:styleId="38">
    <w:name w:val="副标题 Char"/>
    <w:basedOn w:val="23"/>
    <w:link w:val="15"/>
    <w:qFormat/>
    <w:uiPriority w:val="0"/>
    <w:rPr>
      <w:rFonts w:ascii="Cambria" w:hAnsi="Cambria" w:cs="Times New Roman"/>
      <w:b/>
      <w:bCs/>
      <w:color w:val="FF0000"/>
      <w:kern w:val="28"/>
      <w:sz w:val="32"/>
      <w:szCs w:val="32"/>
    </w:rPr>
  </w:style>
  <w:style w:type="character" w:customStyle="1" w:styleId="39">
    <w:name w:val="正文文本 2 Char"/>
    <w:basedOn w:val="23"/>
    <w:link w:val="16"/>
    <w:qFormat/>
    <w:uiPriority w:val="0"/>
    <w:rPr>
      <w:kern w:val="2"/>
      <w:sz w:val="21"/>
      <w:szCs w:val="22"/>
    </w:rPr>
  </w:style>
  <w:style w:type="character" w:customStyle="1" w:styleId="40">
    <w:name w:val="HTML 预设格式 Char"/>
    <w:basedOn w:val="23"/>
    <w:link w:val="17"/>
    <w:qFormat/>
    <w:uiPriority w:val="0"/>
    <w:rPr>
      <w:rFonts w:ascii="宋体" w:hAnsi="宋体"/>
      <w:sz w:val="24"/>
      <w:szCs w:val="24"/>
    </w:rPr>
  </w:style>
  <w:style w:type="character" w:customStyle="1" w:styleId="41">
    <w:name w:val="标题 Char"/>
    <w:basedOn w:val="23"/>
    <w:link w:val="19"/>
    <w:qFormat/>
    <w:uiPriority w:val="0"/>
    <w:rPr>
      <w:rFonts w:ascii="Cambria" w:hAnsi="Cambria" w:cs="Times New Roman"/>
      <w:b/>
      <w:bCs/>
      <w:color w:val="FF0000"/>
      <w:kern w:val="2"/>
      <w:sz w:val="32"/>
      <w:szCs w:val="32"/>
    </w:rPr>
  </w:style>
  <w:style w:type="character" w:customStyle="1" w:styleId="42">
    <w:name w:val="正文首行缩进 2 Char"/>
    <w:basedOn w:val="32"/>
    <w:link w:val="20"/>
    <w:qFormat/>
    <w:uiPriority w:val="99"/>
  </w:style>
  <w:style w:type="paragraph" w:customStyle="1" w:styleId="4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黑体"/>
      <w:color w:val="auto"/>
      <w:sz w:val="21"/>
      <w:szCs w:val="22"/>
    </w:rPr>
  </w:style>
  <w:style w:type="paragraph" w:customStyle="1" w:styleId="44">
    <w:name w:val="公文一级标题"/>
    <w:basedOn w:val="1"/>
    <w:qFormat/>
    <w:uiPriority w:val="0"/>
    <w:pPr>
      <w:spacing w:line="560" w:lineRule="exact"/>
      <w:ind w:firstLine="640" w:firstLineChars="200"/>
      <w:jc w:val="center"/>
    </w:pPr>
    <w:rPr>
      <w:rFonts w:ascii="仿宋_GB2312" w:hAnsi="等线" w:eastAsia="方正小标宋简体"/>
      <w:color w:val="auto"/>
      <w:sz w:val="44"/>
      <w:szCs w:val="32"/>
    </w:rPr>
  </w:style>
  <w:style w:type="paragraph" w:customStyle="1" w:styleId="45">
    <w:name w:val="BodyText1I2"/>
    <w:basedOn w:val="1"/>
    <w:next w:val="1"/>
    <w:qFormat/>
    <w:uiPriority w:val="0"/>
    <w:pPr>
      <w:suppressAutoHyphens/>
      <w:spacing w:after="120"/>
      <w:ind w:left="420" w:leftChars="200" w:firstLine="420" w:firstLineChars="200"/>
      <w:textAlignment w:val="baseline"/>
    </w:pPr>
    <w:rPr>
      <w:rFonts w:ascii="Calibri" w:hAnsi="Calibri" w:eastAsia="宋体"/>
      <w:color w:val="auto"/>
      <w:sz w:val="21"/>
      <w:szCs w:val="24"/>
    </w:rPr>
  </w:style>
  <w:style w:type="paragraph" w:customStyle="1" w:styleId="46">
    <w:name w:val="paragraph"/>
    <w:basedOn w:val="1"/>
    <w:qFormat/>
    <w:uiPriority w:val="0"/>
    <w:pPr>
      <w:widowControl/>
      <w:suppressAutoHyphens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paragraph" w:customStyle="1" w:styleId="47">
    <w:name w:val="pa-2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table" w:customStyle="1" w:styleId="48">
    <w:name w:val="网格型1"/>
    <w:basedOn w:val="21"/>
    <w:qFormat/>
    <w:uiPriority w:val="5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49">
    <w:name w:val="Normal0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0">
    <w:name w:val="附件标题"/>
    <w:basedOn w:val="5"/>
    <w:next w:val="1"/>
    <w:qFormat/>
    <w:uiPriority w:val="0"/>
    <w:pPr>
      <w:keepNext w:val="0"/>
      <w:keepLines w:val="0"/>
      <w:adjustRightInd w:val="0"/>
      <w:snapToGrid w:val="0"/>
      <w:spacing w:before="0" w:after="0" w:line="300" w:lineRule="auto"/>
      <w:jc w:val="center"/>
    </w:pPr>
    <w:rPr>
      <w:rFonts w:ascii="Times New Roman" w:hAnsi="Times New Roman" w:eastAsia="长城小标宋体"/>
      <w:color w:val="auto"/>
      <w:spacing w:val="11"/>
      <w:sz w:val="36"/>
      <w:szCs w:val="36"/>
    </w:rPr>
  </w:style>
  <w:style w:type="paragraph" w:customStyle="1" w:styleId="51">
    <w:name w:val="小标"/>
    <w:basedOn w:val="3"/>
    <w:next w:val="1"/>
    <w:qFormat/>
    <w:uiPriority w:val="0"/>
    <w:pPr>
      <w:keepNext w:val="0"/>
      <w:keepLines w:val="0"/>
      <w:adjustRightInd w:val="0"/>
      <w:snapToGrid w:val="0"/>
      <w:spacing w:before="0" w:after="0" w:line="300" w:lineRule="auto"/>
      <w:jc w:val="center"/>
    </w:pPr>
    <w:rPr>
      <w:rFonts w:ascii="Times New Roman" w:hAnsi="Times New Roman" w:eastAsia="楷体_GB2312"/>
      <w:b w:val="0"/>
      <w:bCs w:val="0"/>
      <w:spacing w:val="6"/>
    </w:rPr>
  </w:style>
  <w:style w:type="paragraph" w:customStyle="1" w:styleId="5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table" w:customStyle="1" w:styleId="53">
    <w:name w:val="Table Normal"/>
    <w:unhideWhenUsed/>
    <w:qFormat/>
    <w:uiPriority w:val="0"/>
    <w:rPr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4">
    <w:name w:val="font51"/>
    <w:basedOn w:val="23"/>
    <w:qFormat/>
    <w:uiPriority w:val="0"/>
    <w:rPr>
      <w:rFonts w:hint="default"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55">
    <w:name w:val="font1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6">
    <w:name w:val="默认段落字体1"/>
    <w:qFormat/>
    <w:uiPriority w:val="0"/>
  </w:style>
  <w:style w:type="character" w:customStyle="1" w:styleId="57">
    <w:name w:val="NormalCharacter"/>
    <w:qFormat/>
    <w:uiPriority w:val="0"/>
  </w:style>
  <w:style w:type="paragraph" w:customStyle="1" w:styleId="58">
    <w:name w:val="一级黑体"/>
    <w:basedOn w:val="1"/>
    <w:link w:val="59"/>
    <w:qFormat/>
    <w:uiPriority w:val="0"/>
    <w:pPr>
      <w:spacing w:line="600" w:lineRule="exact"/>
      <w:ind w:firstLine="640" w:firstLineChars="200"/>
      <w:jc w:val="left"/>
    </w:pPr>
    <w:rPr>
      <w:rFonts w:ascii="方正仿宋_GB2312" w:hAnsi="方正仿宋_GB2312" w:eastAsia="黑体"/>
      <w:color w:val="auto"/>
      <w:szCs w:val="32"/>
    </w:rPr>
  </w:style>
  <w:style w:type="character" w:customStyle="1" w:styleId="59">
    <w:name w:val="一级黑体 Char"/>
    <w:link w:val="58"/>
    <w:qFormat/>
    <w:uiPriority w:val="0"/>
    <w:rPr>
      <w:rFonts w:ascii="方正仿宋_GB2312" w:hAnsi="方正仿宋_GB2312" w:eastAsia="黑体"/>
      <w:kern w:val="2"/>
      <w:sz w:val="32"/>
      <w:szCs w:val="32"/>
    </w:rPr>
  </w:style>
  <w:style w:type="character" w:customStyle="1" w:styleId="60">
    <w:name w:val="font01"/>
    <w:qFormat/>
    <w:uiPriority w:val="0"/>
    <w:rPr>
      <w:rFonts w:hint="eastAsia" w:ascii="仿宋" w:hAnsi="仿宋" w:eastAsia="仿宋" w:cs="仿宋"/>
      <w:b/>
      <w:bCs/>
      <w:color w:val="000000"/>
      <w:sz w:val="21"/>
      <w:szCs w:val="21"/>
      <w:u w:val="none"/>
    </w:rPr>
  </w:style>
  <w:style w:type="character" w:customStyle="1" w:styleId="61">
    <w:name w:val="font91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62">
    <w:name w:val="font61"/>
    <w:qFormat/>
    <w:uiPriority w:val="0"/>
    <w:rPr>
      <w:rFonts w:hint="default" w:ascii="文泉驿微米黑" w:hAnsi="文泉驿微米黑" w:eastAsia="文泉驿微米黑" w:cs="文泉驿微米黑"/>
      <w:color w:val="000000"/>
      <w:sz w:val="20"/>
      <w:szCs w:val="20"/>
      <w:u w:val="none"/>
    </w:rPr>
  </w:style>
  <w:style w:type="paragraph" w:customStyle="1" w:styleId="63">
    <w:name w:val="文章标题"/>
    <w:basedOn w:val="1"/>
    <w:qFormat/>
    <w:uiPriority w:val="0"/>
    <w:pPr>
      <w:spacing w:beforeLines="200" w:afterLines="100"/>
      <w:jc w:val="center"/>
    </w:pPr>
    <w:rPr>
      <w:rFonts w:ascii="黑体" w:hAnsi="黑体" w:eastAsia="黑体"/>
      <w:color w:val="auto"/>
      <w:sz w:val="44"/>
      <w:szCs w:val="22"/>
    </w:rPr>
  </w:style>
  <w:style w:type="paragraph" w:styleId="64">
    <w:name w:val="List Paragraph"/>
    <w:basedOn w:val="1"/>
    <w:qFormat/>
    <w:uiPriority w:val="34"/>
    <w:pPr>
      <w:ind w:firstLine="420" w:firstLineChars="200"/>
    </w:pPr>
    <w:rPr>
      <w:color w:val="auto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www.window7.com</Company>
  <Pages>9</Pages>
  <Words>4843</Words>
  <Characters>4896</Characters>
  <Lines>62</Lines>
  <Paragraphs>17</Paragraphs>
  <TotalTime>0</TotalTime>
  <ScaleCrop>false</ScaleCrop>
  <LinksUpToDate>false</LinksUpToDate>
  <CharactersWithSpaces>4991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2025-04-20T09:41:00Z</dcterms:created>
  <dc:creator>MC SYSTEM</dc:creator>
  <cp:lastModifiedBy>罗凯</cp:lastModifiedBy>
  <cp:lastPrinted>2026-05-21T08:54:00Z</cp:lastPrinted>
  <dcterms:modified xsi:type="dcterms:W3CDTF">2026-05-29T01:37:43Z</dcterms:modified>
  <dc:title>关于报送第一、二季度有关文件、会议数据的函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eyJoZGlkIjoiNjVlMDc5ZGU4ZjE2NGNjMmE4MTRiOTczM2E1MWMyYWUiLCJ1c2VySWQiOiIzNjcyOTAzNTEifQ==</vt:lpwstr>
  </property>
  <property fmtid="{D5CDD505-2E9C-101B-9397-08002B2CF9AE}" pid="4" name="ICV">
    <vt:lpwstr>72C91816EFD0D658D1810D6A3206D50B_43</vt:lpwstr>
  </property>
</Properties>
</file>